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6BD768A" w14:textId="77777777" w:rsidTr="0041512A">
        <w:tc>
          <w:tcPr>
            <w:tcW w:w="2263" w:type="dxa"/>
          </w:tcPr>
          <w:p w14:paraId="56BCDB44" w14:textId="00631938" w:rsidR="0041512A" w:rsidRDefault="00BA3B05" w:rsidP="0041512A">
            <w:pPr>
              <w:spacing w:before="120" w:after="120"/>
            </w:pPr>
            <w:hyperlink r:id="rId5" w:history="1">
              <w:r w:rsidR="0053580E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263493B3" w14:textId="77777777" w:rsidR="0041512A" w:rsidRDefault="006A3E4F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Vendita armi comuni</w:t>
            </w:r>
          </w:p>
        </w:tc>
        <w:tc>
          <w:tcPr>
            <w:tcW w:w="1979" w:type="dxa"/>
          </w:tcPr>
          <w:p w14:paraId="4A130541" w14:textId="76233664" w:rsidR="0041512A" w:rsidRPr="0041512A" w:rsidRDefault="00BA3B05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4843E6F8" w14:textId="77777777" w:rsidTr="0041512A">
        <w:tc>
          <w:tcPr>
            <w:tcW w:w="9629" w:type="dxa"/>
            <w:gridSpan w:val="3"/>
          </w:tcPr>
          <w:p w14:paraId="3D796380" w14:textId="5AC358A8" w:rsidR="00F33A15" w:rsidRPr="00AB3F1C" w:rsidRDefault="00E336B3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4EAF765" w14:textId="082649BF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La vendita di armi comuni, </w:t>
            </w:r>
            <w:r w:rsidRPr="006A3E4F">
              <w:rPr>
                <w:color w:val="000000"/>
                <w:sz w:val="20"/>
                <w:szCs w:val="20"/>
                <w:u w:val="none"/>
              </w:rPr>
              <w:t xml:space="preserve">oltre alle disposizioni afferenti </w:t>
            </w:r>
            <w:r w:rsidR="00E336B3">
              <w:rPr>
                <w:color w:val="000000"/>
                <w:sz w:val="20"/>
                <w:szCs w:val="20"/>
                <w:u w:val="none"/>
              </w:rPr>
              <w:t>a</w:t>
            </w:r>
            <w:r w:rsidR="00E336B3" w:rsidRPr="006A3E4F">
              <w:rPr>
                <w:color w:val="000000"/>
                <w:sz w:val="20"/>
                <w:szCs w:val="20"/>
                <w:u w:val="none"/>
              </w:rPr>
              <w:t>lla</w:t>
            </w:r>
            <w:r w:rsidRPr="006A3E4F">
              <w:rPr>
                <w:color w:val="000000"/>
                <w:sz w:val="20"/>
                <w:szCs w:val="20"/>
                <w:u w:val="none"/>
              </w:rPr>
              <w:t xml:space="preserve"> disciplina della vendita al dettaglio in qualunque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modo esercitata, è soggetta alle disposizioni speciali contenute nel Testo Unico Leggi Pubblica Sicurezza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(TULPS) di cui si richiamano i seguenti aspetti:</w:t>
            </w:r>
          </w:p>
          <w:p w14:paraId="7521CBFC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Per armi si intendono:</w:t>
            </w:r>
          </w:p>
          <w:p w14:paraId="2C9B6AC6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1.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le armi proprie, cioè quelle da sparo e tutte le altre la cui destinazione naturale è l'offesa alla</w:t>
            </w:r>
          </w:p>
          <w:p w14:paraId="615BFAE1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persona;</w:t>
            </w:r>
          </w:p>
          <w:p w14:paraId="467EF25B" w14:textId="3C53EAD4" w:rsidR="006A3E4F" w:rsidRPr="006A3E4F" w:rsidRDefault="006A3E4F" w:rsidP="00E336B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2.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le bombe, qualsiasi macchina o involucro contenente materie esplodenti, ovvero i gas asfissianti</w:t>
            </w:r>
            <w:r w:rsidR="00E336B3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o accecanti.</w:t>
            </w:r>
          </w:p>
          <w:p w14:paraId="0F246793" w14:textId="77777777" w:rsidR="006A3E4F" w:rsidRPr="006A3E4F" w:rsidRDefault="006A3E4F" w:rsidP="006A3E4F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  <w:t>Non si possono porle comunque in vendita, senza licenza del Questore.</w:t>
            </w:r>
          </w:p>
          <w:p w14:paraId="02A63611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La licenza non può essere ceduta ed è valida per i locali in essa indicati.</w:t>
            </w:r>
          </w:p>
          <w:p w14:paraId="3D74DE7A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La licenza ha validità per 3 anni.</w:t>
            </w:r>
          </w:p>
          <w:p w14:paraId="4787BFEB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È ammessa la rappresentanza nella conduzione.</w:t>
            </w:r>
          </w:p>
          <w:p w14:paraId="3DDA83CC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Il commerciante non può trasportare armi fuori del proprio negozio senza preventivo avviso all'autorità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di pubblica sicurezza.</w:t>
            </w:r>
          </w:p>
          <w:p w14:paraId="02FEF265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Il commerciante è obbligato a tenere un registro delle operazioni giornaliere, nel quale devono essere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indicate le generalità delle persone con cui le operazioni stesse sono compiute.</w:t>
            </w:r>
          </w:p>
          <w:p w14:paraId="34BEDAD5" w14:textId="1681E751" w:rsidR="00276654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I commercianti di armi devono altresì comunicare mensilmente all'ufficio di polizia competente per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territorio le generalità delle persone e delle ditte che hanno acquistato o venduto loro le armi, la specie</w:t>
            </w:r>
            <w:r w:rsidR="000541FA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e la quantità delle armi vendute o acquistate e gli estremi dei titoli abilitativi all'acquisto esibiti dagli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interessati.</w:t>
            </w:r>
          </w:p>
          <w:p w14:paraId="427E00BC" w14:textId="77777777" w:rsidR="00E336B3" w:rsidRPr="00CC3EE4" w:rsidRDefault="00E336B3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72DABDD" w14:textId="7C681E39" w:rsidR="006A3E4F" w:rsidRPr="00E336B3" w:rsidRDefault="006A3E4F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336B3">
              <w:rPr>
                <w:rStyle w:val="Collegamentoipertestuale"/>
                <w:b/>
                <w:color w:val="C00000"/>
                <w:u w:val="none"/>
              </w:rPr>
              <w:t>Requisiti aggiunti</w:t>
            </w:r>
            <w:r w:rsidR="00643A29" w:rsidRPr="00E336B3">
              <w:rPr>
                <w:rStyle w:val="Collegamentoipertestuale"/>
                <w:b/>
                <w:color w:val="C00000"/>
                <w:u w:val="none"/>
              </w:rPr>
              <w:t xml:space="preserve"> </w:t>
            </w:r>
          </w:p>
          <w:p w14:paraId="264274F5" w14:textId="3512867D" w:rsidR="00E336B3" w:rsidRDefault="00E336B3" w:rsidP="006A3E4F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negozi di </w:t>
            </w:r>
            <w:hyperlink r:id="rId7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9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programmazione, ai quali si aggiungono i seguenti:</w:t>
            </w:r>
          </w:p>
          <w:p w14:paraId="4E26ECD4" w14:textId="19F94272" w:rsidR="006A3E4F" w:rsidRPr="006A3E4F" w:rsidRDefault="00E336B3" w:rsidP="006A3E4F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336B3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Onorabilità -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Oltre ai requisiti previsti per l'inizio delle attività di vendita al dettaglio, l'art. 11 e 43 del TULPS</w:t>
            </w:r>
            <w:r w:rsidR="006A3E4F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prevedono anche i seguenti requisiti:</w:t>
            </w:r>
          </w:p>
          <w:p w14:paraId="4658514D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 xml:space="preserve">Art. </w:t>
            </w:r>
            <w:r w:rsidRPr="006A3E4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11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- Salve le condizioni particolari stabilite dalla legge nei singoli casi, le autorizzazioni di polizia</w:t>
            </w:r>
          </w:p>
          <w:p w14:paraId="4533D5AF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debbono essere negate:</w:t>
            </w:r>
          </w:p>
          <w:p w14:paraId="709964D3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• 1° a chi ha riportato una condanna a pena restrittiva della libertà personale superiore a tre anni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 delitto non colposo e non ha ottenuto la riabilitazione;</w:t>
            </w:r>
          </w:p>
          <w:p w14:paraId="47BDF314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• 2° a chi è sottoposto all'ammonizione o a misura di sicurezza personale o è stato dichiarato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delinquente abituale, professionale o per tendenza.</w:t>
            </w:r>
          </w:p>
          <w:p w14:paraId="5D232CFE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Le autorizzazioni di polizia possono essere negate a chi ha riportato condanna per delitti contro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personalità dello Stato o contro l'ordine pubblico, ovvero per delitti contro le persone commessi con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violenza, o per furto, rapina, estorsione, sequestro di persona a scopo di rapina o di estorsione, 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 violenza o resistenza all'autorità, e a chi non può provare la sua buona condotta.</w:t>
            </w:r>
          </w:p>
          <w:p w14:paraId="2981E73D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Le autorizzazioni devono essere revocate quando nella persona autorizzata vengono a mancare, in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tutto o in parte, le condizioni alle quali sono subordinate, e possono essere revocate quando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sopraggiungono o vengono a risultare circostanze che avrebbero imposto o consentito il diniego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della autorizzazione.</w:t>
            </w:r>
          </w:p>
          <w:p w14:paraId="7790D644" w14:textId="77777777" w:rsidR="006A3E4F" w:rsidRP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58DD1535" w14:textId="4474DF45" w:rsidR="006A3E4F" w:rsidRPr="006A3E4F" w:rsidRDefault="00E336B3" w:rsidP="00E336B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CC3EE4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Professionali -</w:t>
            </w:r>
            <w:r>
              <w:rPr>
                <w:b/>
                <w:bCs/>
                <w:i/>
                <w:iCs/>
                <w:color w:val="C00000"/>
                <w:sz w:val="22"/>
                <w:szCs w:val="22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Colui che richiede il rilascio della licenza per riparazione e/o vendita armi comuni deve dimostrare la</w:t>
            </w:r>
            <w:r w:rsidR="006A3E4F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propria capacità tecnica, sostenendo un esame al cospetto della Commissione Tecnica Provinciale;</w:t>
            </w:r>
            <w:r w:rsidR="006A3E4F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l’idoneità tecnica all’esercizio dell’attività deve essere accertata anche in capo agli eventuali sostituti</w:t>
            </w:r>
            <w:r w:rsidR="006A3E4F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del titolare.</w:t>
            </w:r>
          </w:p>
          <w:p w14:paraId="348375E9" w14:textId="77777777" w:rsidR="006A3E4F" w:rsidRPr="006A3E4F" w:rsidRDefault="006A3E4F" w:rsidP="00643A2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Colui al quale viene rilasciata la licenza è responsabile di tutto quello che avviene all’interno dei locali</w:t>
            </w:r>
          </w:p>
          <w:p w14:paraId="6FCBB55E" w14:textId="35BA3E69" w:rsidR="00DE69A3" w:rsidRPr="00D95E05" w:rsidRDefault="006A3E4F" w:rsidP="00643A29">
            <w:pPr>
              <w:spacing w:after="24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e di ogni altra attività professionale esercitata in forza della licenza stessa; per tale motivo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l’intestatario dell’autorizzazione (o uno dei suoi sostituti indicati in calce nella licenza) deve sempre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essere presente all’interno dell’esercizio durante l’orario di attività e, in caso di controllo da parte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dell’autorità di P.S., deve porsi a disposizioni degli operatori.</w:t>
            </w:r>
            <w:r w:rsidR="00DE69A3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DE69A3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6D5F71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instrText>HYPERLINK "Modulistica/8%20CF%20Richiesta%20capacità%20tecnica%20armiere.pdf"</w:instrText>
            </w:r>
            <w:r w:rsidR="00DE69A3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="00DE69A3" w:rsidRPr="00D95E05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Richiesta cap</w:t>
            </w:r>
            <w:r w:rsidR="00DE69A3" w:rsidRPr="00D95E05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a</w:t>
            </w:r>
            <w:r w:rsidR="00DE69A3" w:rsidRPr="00D95E05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cità tecnica armiere</w:t>
            </w:r>
          </w:p>
          <w:p w14:paraId="136B6BA2" w14:textId="18B06957" w:rsidR="006A3E4F" w:rsidRPr="006A3E4F" w:rsidRDefault="00DE69A3" w:rsidP="00E336B3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  <w:r w:rsidR="00E336B3" w:rsidRPr="00CC3EE4">
              <w:rPr>
                <w:rStyle w:val="Collegamentoipertestuale"/>
                <w:b/>
                <w:i/>
                <w:iCs/>
                <w:color w:val="FF0000"/>
                <w:sz w:val="22"/>
                <w:szCs w:val="22"/>
                <w:u w:val="none"/>
              </w:rPr>
              <w:t>O</w:t>
            </w:r>
            <w:r w:rsidR="006A3E4F" w:rsidRPr="00CC3EE4">
              <w:rPr>
                <w:rStyle w:val="Collegamentoipertestuale"/>
                <w:b/>
                <w:i/>
                <w:iCs/>
                <w:color w:val="FF0000"/>
                <w:sz w:val="22"/>
                <w:szCs w:val="22"/>
                <w:u w:val="none"/>
              </w:rPr>
              <w:t>ggettiv</w:t>
            </w:r>
            <w:r w:rsidR="00E336B3" w:rsidRPr="00CC3EE4">
              <w:rPr>
                <w:rStyle w:val="Collegamentoipertestuale"/>
                <w:b/>
                <w:i/>
                <w:iCs/>
                <w:color w:val="FF0000"/>
                <w:sz w:val="22"/>
                <w:szCs w:val="22"/>
                <w:u w:val="none"/>
              </w:rPr>
              <w:t>i -</w:t>
            </w:r>
            <w:r w:rsidR="00E336B3" w:rsidRPr="00E336B3">
              <w:rPr>
                <w:rStyle w:val="Collegamentoipertestuale"/>
                <w:b/>
                <w:color w:val="C00000"/>
                <w:sz w:val="22"/>
                <w:szCs w:val="22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Ferme le disposizioni relative all’insediamento dei negozi di Vicinato, Medie o Grandi Strutture di vendita,</w:t>
            </w:r>
            <w:r w:rsidR="006A3E4F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l’esercizio della vendita di armi o esplosivi e altresì soggetta alle speciali norme di Pubblica Sicurezza e di</w:t>
            </w:r>
            <w:r w:rsidR="006A3E4F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6A3E4F" w:rsidRPr="006A3E4F">
              <w:rPr>
                <w:color w:val="000000"/>
                <w:sz w:val="20"/>
                <w:szCs w:val="20"/>
                <w:u w:val="none"/>
              </w:rPr>
              <w:t>Prevenzione incendi in relazione alla specifica detenzione di armi e materiale esplodente.</w:t>
            </w:r>
          </w:p>
          <w:p w14:paraId="0E3A7108" w14:textId="77777777" w:rsidR="00E336B3" w:rsidRDefault="00E336B3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1F008F42" w14:textId="77777777" w:rsidR="00E336B3" w:rsidRDefault="00E336B3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</w:p>
          <w:p w14:paraId="60A5C415" w14:textId="730EEF55" w:rsidR="006A3E4F" w:rsidRDefault="006A3E4F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In via generale va sottolineato che qualsiasi attività professionale che abbia come proprio oggetto le armi, 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munizioni e gli esplosivi, deve essere svolta all’interno di locali appositamente autorizzati, ovvero che siano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stati preventivamente giudicati idonei dalla Commissione Tecnica Provinciale, la cui esatta ubicazione deve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figurare nella licenza stessa.</w:t>
            </w:r>
          </w:p>
          <w:p w14:paraId="66185C27" w14:textId="77777777" w:rsidR="004A70F8" w:rsidRPr="006A3E4F" w:rsidRDefault="004A70F8" w:rsidP="006A3E4F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9F53B2C" w14:textId="77777777" w:rsidR="00276654" w:rsidRPr="00434147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434147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5FEBF62D" w14:textId="1D926598" w:rsidR="009C33A4" w:rsidRPr="009C33A4" w:rsidRDefault="009C33A4" w:rsidP="009C33A4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 w:rsidR="000541F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o Istanza</w:t>
            </w:r>
            <w:r w:rsidRPr="009C33A4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attivare l’attività di vendita al dettaglio, occorre presentare </w:t>
            </w:r>
            <w:r w:rsidRPr="009C33A4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istanza alla Questura</w:t>
            </w:r>
            <w:r w:rsidRPr="009C33A4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l’ottenimento della prescritta licenza di Polizia. L’istanza deve essere allegata alla SCIA Condizionata</w:t>
            </w:r>
            <w:r w:rsidR="000541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Vicinato o Istanza MSV o GSV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che il SUAP inoltrerà alla Questura.</w:t>
            </w:r>
          </w:p>
          <w:p w14:paraId="5B4BC1A8" w14:textId="4476A06A" w:rsidR="009C33A4" w:rsidRPr="00185119" w:rsidRDefault="009C33A4" w:rsidP="009C33A4">
            <w:pPr>
              <w:spacing w:after="120"/>
              <w:ind w:left="164" w:right="312"/>
              <w:jc w:val="both"/>
              <w:rPr>
                <w:color w:val="0000FF"/>
              </w:rPr>
            </w:pPr>
            <w:r w:rsidRPr="00CC3E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L’avvio, trasferimento o ampliamento</w:t>
            </w:r>
            <w:r w:rsidRPr="009C33A4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dell’attività di vendita al dettaglio di armi</w:t>
            </w:r>
            <w:r w:rsidR="000541F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comuni</w:t>
            </w:r>
            <w:r w:rsidRPr="009C33A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è soggetto alla presentazione di </w:t>
            </w:r>
            <w:r w:rsidR="000541F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643A29">
              <w:rPr>
                <w:color w:val="auto"/>
                <w:sz w:val="20"/>
                <w:szCs w:val="20"/>
                <w:u w:val="none"/>
              </w:rPr>
              <w:t>da</w:t>
            </w:r>
            <w:r w:rsidRPr="009C33A4">
              <w:rPr>
                <w:color w:val="auto"/>
                <w:sz w:val="20"/>
                <w:szCs w:val="20"/>
                <w:u w:val="none"/>
              </w:rPr>
              <w:t xml:space="preserve"> inoltrare mediante lo sportello telematico </w:t>
            </w:r>
            <w:hyperlink r:id="rId10" w:history="1">
              <w:hyperlink r:id="rId11" w:history="1">
                <w:r w:rsidR="00E527BC">
                  <w:rPr>
                    <w:rStyle w:val="Collegamentoipertestuale"/>
                    <w:b/>
                    <w:sz w:val="20"/>
                    <w:szCs w:val="20"/>
                  </w:rPr>
                  <w:t>Impresainungior</w:t>
                </w:r>
                <w:r w:rsidR="00E527BC">
                  <w:rPr>
                    <w:rStyle w:val="Collegamentoipertestuale"/>
                    <w:b/>
                    <w:sz w:val="20"/>
                    <w:szCs w:val="20"/>
                  </w:rPr>
                  <w:t>n</w:t>
                </w:r>
                <w:r w:rsidR="00E527BC">
                  <w:rPr>
                    <w:rStyle w:val="Collegamentoipertestuale"/>
                    <w:b/>
                    <w:sz w:val="20"/>
                    <w:szCs w:val="20"/>
                  </w:rPr>
                  <w:t xml:space="preserve">o.gov.it </w:t>
                </w:r>
                <w:r w:rsidR="00E527BC">
                  <w:rPr>
                    <w:rStyle w:val="Collegamentoipertestuale"/>
                    <w:sz w:val="20"/>
                    <w:szCs w:val="20"/>
                  </w:rPr>
                  <w:t xml:space="preserve"> </w:t>
                </w:r>
              </w:hyperlink>
              <w:r w:rsidR="00E527BC">
                <w:rPr>
                  <w:sz w:val="20"/>
                  <w:szCs w:val="20"/>
                </w:rPr>
                <w:t xml:space="preserve"> </w:t>
              </w:r>
              <w:r w:rsidRPr="00185119">
                <w:rPr>
                  <w:rStyle w:val="Collegamentoipertestuale"/>
                </w:rPr>
                <w:t xml:space="preserve"> </w:t>
              </w:r>
            </w:hyperlink>
            <w:r w:rsidRPr="00185119">
              <w:rPr>
                <w:color w:val="0000FF"/>
              </w:rPr>
              <w:t xml:space="preserve"> </w:t>
            </w:r>
          </w:p>
          <w:p w14:paraId="566E6F22" w14:textId="500D69A0" w:rsidR="00DE69A3" w:rsidRPr="00DE69A3" w:rsidRDefault="00F312D0" w:rsidP="00DE69A3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proced</w:t>
            </w:r>
            <w:r w:rsidR="00643A29">
              <w:rPr>
                <w:color w:val="auto"/>
                <w:sz w:val="20"/>
                <w:szCs w:val="20"/>
                <w:u w:val="none"/>
              </w:rPr>
              <w:t>ere</w:t>
            </w:r>
            <w:r w:rsidRPr="00DE69A3">
              <w:rPr>
                <w:color w:val="auto"/>
                <w:sz w:val="20"/>
                <w:szCs w:val="20"/>
                <w:u w:val="none"/>
              </w:rPr>
              <w:t xml:space="preserve"> selezionando: </w:t>
            </w:r>
            <w:r w:rsidR="00652350"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 w:rsidR="00652350">
              <w:rPr>
                <w:b/>
                <w:color w:val="auto"/>
                <w:sz w:val="20"/>
                <w:szCs w:val="20"/>
                <w:u w:val="none"/>
              </w:rPr>
              <w:t xml:space="preserve"> (Ateco da 45 a 47)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 Commercio</w:t>
            </w:r>
            <w:r w:rsidR="00B63274"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al dettaglio in area privata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</w:p>
          <w:p w14:paraId="5FDBC735" w14:textId="77777777" w:rsidR="00DE69A3" w:rsidRDefault="00B63274" w:rsidP="00DE69A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</w:t>
            </w:r>
            <w:r w:rsidR="00F312D0" w:rsidRPr="00DE69A3">
              <w:rPr>
                <w:b/>
                <w:color w:val="auto"/>
                <w:sz w:val="20"/>
                <w:szCs w:val="20"/>
                <w:u w:val="none"/>
              </w:rPr>
              <w:t>icinato</w:t>
            </w:r>
          </w:p>
          <w:p w14:paraId="004653B9" w14:textId="77777777" w:rsidR="00DE69A3" w:rsidRDefault="00DE69A3" w:rsidP="00DE69A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17482118" w14:textId="47CA8628" w:rsidR="00DE69A3" w:rsidRPr="00DE69A3" w:rsidRDefault="00DE69A3" w:rsidP="00DE69A3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="00F312D0"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45143F2" w14:textId="287D1D1E" w:rsidR="00F312D0" w:rsidRPr="00DE69A3" w:rsidRDefault="00D810ED" w:rsidP="00CC3EE4">
            <w:pPr>
              <w:spacing w:after="24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Scegliere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settore NON alimentare; </w:t>
            </w:r>
            <w:r w:rsidR="003B48B5">
              <w:rPr>
                <w:color w:val="auto"/>
                <w:sz w:val="20"/>
                <w:szCs w:val="20"/>
                <w:u w:val="none"/>
              </w:rPr>
              <w:t xml:space="preserve">digitare </w:t>
            </w:r>
            <w:r w:rsidR="00F312D0" w:rsidRPr="00DE69A3">
              <w:rPr>
                <w:bCs/>
                <w:color w:val="auto"/>
                <w:sz w:val="20"/>
                <w:szCs w:val="20"/>
                <w:u w:val="none"/>
              </w:rPr>
              <w:t>conferma</w:t>
            </w:r>
            <w:r w:rsidR="00DE69A3"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DE69A3"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="00F312D0"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 w:rsidR="00DE69A3"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 + </w:t>
            </w:r>
            <w:r w:rsidR="00DE69A3" w:rsidRPr="00DE69A3">
              <w:rPr>
                <w:b/>
                <w:bCs/>
                <w:color w:val="auto"/>
                <w:sz w:val="18"/>
                <w:szCs w:val="18"/>
                <w:u w:val="none"/>
              </w:rPr>
              <w:t>Domanda di autorizzazione per l'esercizio del commercio di armi comuni</w:t>
            </w:r>
            <w:r w:rsidR="00F312D0" w:rsidRPr="00DE69A3">
              <w:rPr>
                <w:b/>
                <w:color w:val="auto"/>
                <w:sz w:val="20"/>
                <w:szCs w:val="20"/>
                <w:u w:val="none"/>
              </w:rPr>
              <w:t>.</w:t>
            </w:r>
          </w:p>
          <w:p w14:paraId="2F294A67" w14:textId="520C3B38" w:rsidR="00643A29" w:rsidRDefault="00643A29" w:rsidP="00CC3EE4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C3E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CC3EE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BE10CA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5E1826D6" w14:textId="77777777" w:rsidR="00643A29" w:rsidRDefault="00643A29" w:rsidP="00CC3EE4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0B4127EE" w14:textId="0CE9587C" w:rsidR="00643A29" w:rsidRDefault="00643A29" w:rsidP="00643A2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C3E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CC3EE4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5DA58ACF" w14:textId="77777777" w:rsidR="00643A29" w:rsidRDefault="00643A29" w:rsidP="00643A29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58FE98FC" w14:textId="77777777" w:rsidR="003B48B5" w:rsidRDefault="003B48B5" w:rsidP="00434147">
            <w:pPr>
              <w:ind w:left="164" w:right="312"/>
              <w:jc w:val="both"/>
            </w:pPr>
          </w:p>
          <w:p w14:paraId="05CC0E7E" w14:textId="2F775617" w:rsidR="007712B1" w:rsidRDefault="00BA3B05" w:rsidP="007712B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3" w:history="1">
              <w:r w:rsidR="007712B1">
                <w:rPr>
                  <w:rStyle w:val="Collegamentoipertestuale"/>
                  <w:b/>
                  <w:bCs/>
                </w:rPr>
                <w:t>Alleg</w:t>
              </w:r>
              <w:r w:rsidR="007712B1">
                <w:rPr>
                  <w:rStyle w:val="Collegamentoipertestuale"/>
                  <w:b/>
                  <w:bCs/>
                </w:rPr>
                <w:t>a</w:t>
              </w:r>
              <w:r w:rsidR="007712B1">
                <w:rPr>
                  <w:rStyle w:val="Collegamentoipertestuale"/>
                  <w:b/>
                  <w:bCs/>
                </w:rPr>
                <w:t>t</w:t>
              </w:r>
              <w:r w:rsidR="007712B1">
                <w:rPr>
                  <w:rStyle w:val="Collegamentoipertestuale"/>
                  <w:b/>
                  <w:bCs/>
                </w:rPr>
                <w:t>i</w:t>
              </w:r>
            </w:hyperlink>
            <w:r w:rsidR="007712B1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7712B1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7712B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7AA39DE5" w14:textId="77777777" w:rsidR="007712B1" w:rsidRDefault="007712B1" w:rsidP="007712B1">
            <w:pPr>
              <w:ind w:left="164" w:right="312"/>
              <w:jc w:val="both"/>
            </w:pPr>
          </w:p>
          <w:p w14:paraId="5846BD81" w14:textId="565449E4" w:rsidR="00FE6C2F" w:rsidRDefault="00BA3B05" w:rsidP="00FE6C2F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4" w:history="1">
              <w:r w:rsidR="00FE6C2F">
                <w:rPr>
                  <w:rStyle w:val="Collegamentoipertestuale"/>
                  <w:b/>
                  <w:bCs/>
                </w:rPr>
                <w:t>O</w:t>
              </w:r>
              <w:r w:rsidR="00FE6C2F">
                <w:rPr>
                  <w:rStyle w:val="Collegamentoipertestuale"/>
                  <w:b/>
                </w:rPr>
                <w:t xml:space="preserve">neri </w:t>
              </w:r>
              <w:r w:rsidR="00FE6C2F">
                <w:rPr>
                  <w:rStyle w:val="Collegamentoipertestuale"/>
                  <w:b/>
                  <w:bCs/>
                </w:rPr>
                <w:t>istruttori</w:t>
              </w:r>
            </w:hyperlink>
          </w:p>
          <w:p w14:paraId="2CE0F274" w14:textId="77777777" w:rsidR="00FE6C2F" w:rsidRPr="00FE6C2F" w:rsidRDefault="00FE6C2F" w:rsidP="006D5F7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E6C2F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E6C2F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5A4E5C2B" w14:textId="4AB336B6" w:rsidR="00643A29" w:rsidRPr="00744B7C" w:rsidRDefault="00643A29" w:rsidP="00643A29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0B32D450" w14:textId="77777777" w:rsidR="00643A29" w:rsidRPr="00DA3FB9" w:rsidRDefault="00BA3B05" w:rsidP="00434147">
            <w:pPr>
              <w:pStyle w:val="Paragrafoelenco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15" w:history="1">
              <w:r w:rsidR="00643A29" w:rsidRPr="00DA3FB9">
                <w:rPr>
                  <w:rStyle w:val="Collegamentoipertestuale"/>
                  <w:b/>
                  <w:color w:val="C00000"/>
                  <w:u w:val="none"/>
                </w:rPr>
                <w:t>Tempistica</w:t>
              </w:r>
            </w:hyperlink>
          </w:p>
          <w:p w14:paraId="27F3A638" w14:textId="77777777" w:rsidR="003B48B5" w:rsidRPr="003B48B5" w:rsidRDefault="003B48B5" w:rsidP="003B48B5">
            <w:pPr>
              <w:spacing w:line="270" w:lineRule="atLeast"/>
              <w:ind w:left="164" w:right="312"/>
              <w:jc w:val="both"/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3B48B5">
              <w:rPr>
                <w:rFonts w:eastAsia="Times New Roman"/>
                <w:b/>
                <w:color w:val="000000" w:themeColor="text1"/>
                <w:sz w:val="20"/>
                <w:szCs w:val="20"/>
                <w:u w:val="none"/>
                <w:lang w:eastAsia="it-IT"/>
              </w:rPr>
              <w:t>L’attività di vendita di armi diverse da quelle da guerra può essere iniziata solo dopo l’ottenimento della licenza da parte della Questura</w:t>
            </w:r>
            <w:r w:rsidRPr="003B48B5">
              <w:rPr>
                <w:rFonts w:eastAsia="Times New Roman"/>
                <w:color w:val="000000" w:themeColor="text1"/>
                <w:sz w:val="20"/>
                <w:szCs w:val="20"/>
                <w:u w:val="none"/>
                <w:lang w:eastAsia="it-IT"/>
              </w:rPr>
              <w:t>.</w:t>
            </w:r>
          </w:p>
          <w:p w14:paraId="6F49B37A" w14:textId="77777777" w:rsidR="00643A29" w:rsidRDefault="00643A29" w:rsidP="00643A29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79774DDF" w14:textId="7EC1799B" w:rsidR="00643A29" w:rsidRPr="00744B7C" w:rsidRDefault="00BA3B05" w:rsidP="00643A2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643A2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</w:t>
              </w:r>
            </w:hyperlink>
            <w:r w:rsidR="00643A29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643A2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70F35C45" w14:textId="77777777" w:rsidR="00643A29" w:rsidRDefault="00643A29" w:rsidP="00643A29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F63EF4E" w14:textId="0B26E339" w:rsidR="00900C3E" w:rsidRPr="00945B26" w:rsidRDefault="00BA3B05" w:rsidP="00900C3E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643A29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643A29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643A29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43A2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900C3E" w:rsidRPr="00445017">
                <w:rPr>
                  <w:rStyle w:val="Collegamentoipertestuale"/>
                  <w:b/>
                  <w:sz w:val="20"/>
                  <w:szCs w:val="20"/>
                </w:rPr>
                <w:t xml:space="preserve">TUR </w:t>
              </w:r>
              <w:r w:rsidR="00900C3E" w:rsidRPr="00445017">
                <w:rPr>
                  <w:rStyle w:val="Collegamentoipertestuale"/>
                  <w:b/>
                  <w:sz w:val="20"/>
                  <w:szCs w:val="20"/>
                </w:rPr>
                <w:t>p</w:t>
              </w:r>
              <w:r w:rsidR="00900C3E" w:rsidRPr="00445017">
                <w:rPr>
                  <w:rStyle w:val="Collegamentoipertestuale"/>
                  <w:b/>
                  <w:sz w:val="20"/>
                  <w:szCs w:val="20"/>
                </w:rPr>
                <w:t>arte 2^</w:t>
              </w:r>
            </w:hyperlink>
            <w:r w:rsidR="00900C3E" w:rsidRPr="00945B26">
              <w:rPr>
                <w:color w:val="0000FF"/>
                <w:sz w:val="20"/>
                <w:szCs w:val="20"/>
              </w:rPr>
              <w:t xml:space="preserve"> </w:t>
            </w:r>
            <w:r w:rsidR="00900C3E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64CEDE97" w14:textId="17E079F3" w:rsidR="00643A29" w:rsidRPr="00945B26" w:rsidRDefault="00643A29" w:rsidP="00643A29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C66B81E" w14:textId="0F1C02C8" w:rsidR="00276654" w:rsidRDefault="00643A29" w:rsidP="003B48B5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="003B48B5">
              <w:rPr>
                <w:b/>
                <w:color w:val="C00000"/>
                <w:u w:val="none"/>
              </w:rPr>
              <w:t xml:space="preserve"> </w:t>
            </w:r>
          </w:p>
          <w:p w14:paraId="591CFDDD" w14:textId="53D2E34C" w:rsidR="003B48B5" w:rsidRPr="0041512A" w:rsidRDefault="003B48B5" w:rsidP="003B48B5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0009035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26F5B"/>
    <w:rsid w:val="000541FA"/>
    <w:rsid w:val="000E4B7E"/>
    <w:rsid w:val="00112873"/>
    <w:rsid w:val="00117F1E"/>
    <w:rsid w:val="002137F4"/>
    <w:rsid w:val="002210DE"/>
    <w:rsid w:val="0023487B"/>
    <w:rsid w:val="00276654"/>
    <w:rsid w:val="002A5D7C"/>
    <w:rsid w:val="002A6285"/>
    <w:rsid w:val="002B375D"/>
    <w:rsid w:val="002C2EEA"/>
    <w:rsid w:val="00342D58"/>
    <w:rsid w:val="00355D41"/>
    <w:rsid w:val="00394D59"/>
    <w:rsid w:val="003A4A32"/>
    <w:rsid w:val="003B48B5"/>
    <w:rsid w:val="003C10BE"/>
    <w:rsid w:val="003C5FBA"/>
    <w:rsid w:val="0041512A"/>
    <w:rsid w:val="004257E1"/>
    <w:rsid w:val="00434147"/>
    <w:rsid w:val="0044342C"/>
    <w:rsid w:val="00445017"/>
    <w:rsid w:val="0045341A"/>
    <w:rsid w:val="004704B5"/>
    <w:rsid w:val="00493BD0"/>
    <w:rsid w:val="004A70F8"/>
    <w:rsid w:val="004F3CF0"/>
    <w:rsid w:val="004F59C5"/>
    <w:rsid w:val="00506E58"/>
    <w:rsid w:val="0053580E"/>
    <w:rsid w:val="005657F2"/>
    <w:rsid w:val="005930C1"/>
    <w:rsid w:val="005C68B2"/>
    <w:rsid w:val="005C720B"/>
    <w:rsid w:val="005D082F"/>
    <w:rsid w:val="00621A5C"/>
    <w:rsid w:val="00643A29"/>
    <w:rsid w:val="00651378"/>
    <w:rsid w:val="00652350"/>
    <w:rsid w:val="00692827"/>
    <w:rsid w:val="006A3E4F"/>
    <w:rsid w:val="006B29D2"/>
    <w:rsid w:val="006B3A13"/>
    <w:rsid w:val="006C7151"/>
    <w:rsid w:val="006D5F71"/>
    <w:rsid w:val="00737DA2"/>
    <w:rsid w:val="007712B1"/>
    <w:rsid w:val="0082478D"/>
    <w:rsid w:val="00825A82"/>
    <w:rsid w:val="008827A8"/>
    <w:rsid w:val="00897F79"/>
    <w:rsid w:val="00900C3E"/>
    <w:rsid w:val="00945B26"/>
    <w:rsid w:val="009A4645"/>
    <w:rsid w:val="009C33A4"/>
    <w:rsid w:val="00A06B50"/>
    <w:rsid w:val="00AB3F1C"/>
    <w:rsid w:val="00B0731C"/>
    <w:rsid w:val="00B63274"/>
    <w:rsid w:val="00B66F7C"/>
    <w:rsid w:val="00BA3B05"/>
    <w:rsid w:val="00BE10CA"/>
    <w:rsid w:val="00BF42AE"/>
    <w:rsid w:val="00C55ED7"/>
    <w:rsid w:val="00C75D34"/>
    <w:rsid w:val="00CB5871"/>
    <w:rsid w:val="00CC2085"/>
    <w:rsid w:val="00CC3EE4"/>
    <w:rsid w:val="00CC481F"/>
    <w:rsid w:val="00CD592E"/>
    <w:rsid w:val="00CF44E9"/>
    <w:rsid w:val="00D16B5E"/>
    <w:rsid w:val="00D810ED"/>
    <w:rsid w:val="00D95E05"/>
    <w:rsid w:val="00DC5DC3"/>
    <w:rsid w:val="00DE69A3"/>
    <w:rsid w:val="00DF0435"/>
    <w:rsid w:val="00E25843"/>
    <w:rsid w:val="00E336B3"/>
    <w:rsid w:val="00E527BC"/>
    <w:rsid w:val="00E660BB"/>
    <w:rsid w:val="00EE371A"/>
    <w:rsid w:val="00F1068E"/>
    <w:rsid w:val="00F312D0"/>
    <w:rsid w:val="00F33A15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111D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character" w:styleId="Rimandocommento">
    <w:name w:val="annotation reference"/>
    <w:basedOn w:val="Carpredefinitoparagrafo"/>
    <w:uiPriority w:val="99"/>
    <w:semiHidden/>
    <w:unhideWhenUsed/>
    <w:rsid w:val="00E336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6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36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36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36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3%20Media%20struttura%20di%20vendita.docx" TargetMode="External"/><Relationship Id="rId13" Type="http://schemas.openxmlformats.org/officeDocument/2006/relationships/hyperlink" Target="Definizioni/14%20CF%20Allegati.docx" TargetMode="External"/><Relationship Id="rId18" Type="http://schemas.openxmlformats.org/officeDocument/2006/relationships/hyperlink" Target="../../TUR/Parte%202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CF01%20Negozi%20di%20vicinato.docx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Definizioni/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Commercio.xls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s://www.impresainungiorno.gov.it/web/guest/comune?codCatastale=L581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Definizioni/Tempistica%20SCIA.pdf" TargetMode="External"/><Relationship Id="rId10" Type="http://schemas.openxmlformats.org/officeDocument/2006/relationships/hyperlink" Target="http://www.impresainungiorno.gov.it/web/guest/comune?codCatastale=B1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F04%20Grandi%20strutture%20di%20vendita.docx" TargetMode="External"/><Relationship Id="rId14" Type="http://schemas.openxmlformats.org/officeDocument/2006/relationships/hyperlink" Target="Definizioni/20%20CF%20Tariffe%20commercio%20fisso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49</cp:revision>
  <dcterms:created xsi:type="dcterms:W3CDTF">2018-07-20T18:45:00Z</dcterms:created>
  <dcterms:modified xsi:type="dcterms:W3CDTF">2021-04-24T14:39:00Z</dcterms:modified>
</cp:coreProperties>
</file>